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rPr>
          <w:rStyle w:val="UserStyle_99"/>
          <w:rFonts w:cs="Times New Roman"/>
          <w:sz w:val="24"/>
          <w:szCs w:val="24"/>
        </w:rPr>
      </w:pPr>
      <w:r>
        <w:rPr>
          <w:rStyle w:val="UserStyle_99"/>
          <w:rFonts w:cs="Times New Roman"/>
          <w:sz w:val="24"/>
          <w:szCs w:val="24"/>
        </w:rPr>
        <w:t xml:space="preserve">Утверждаю» </w:t>
      </w:r>
      <w:r>
        <w:rPr>
          <w:rStyle w:val="UserStyle_99"/>
          <w:rFonts w:cs="Times New Roman"/>
          <w:sz w:val="24"/>
          <w:szCs w:val="24"/>
        </w:rPr>
      </w:r>
    </w:p>
    <w:p>
      <w:pPr>
        <w:pStyle w:val="Normal"/>
        <w:jc w:val="right"/>
        <w:rPr>
          <w:rStyle w:val="UserStyle_99"/>
          <w:rFonts w:cs="Times New Roman"/>
          <w:sz w:val="24"/>
          <w:szCs w:val="24"/>
        </w:rPr>
      </w:pPr>
      <w:r>
        <w:rPr>
          <w:rStyle w:val="UserStyle_99"/>
          <w:rFonts w:cs="Times New Roman"/>
          <w:sz w:val="24"/>
          <w:szCs w:val="24"/>
        </w:rPr>
        <w:t xml:space="preserve">Генеральный директор </w:t>
      </w:r>
      <w:r>
        <w:rPr>
          <w:rStyle w:val="UserStyle_99"/>
          <w:rFonts w:cs="Times New Roman"/>
          <w:sz w:val="24"/>
          <w:szCs w:val="24"/>
        </w:rPr>
      </w:r>
    </w:p>
    <w:p>
      <w:pPr>
        <w:pStyle w:val="Normal"/>
        <w:jc w:val="right"/>
        <w:rPr>
          <w:rStyle w:val="UserStyle_99"/>
          <w:rFonts w:cs="Times New Roman"/>
          <w:sz w:val="24"/>
          <w:szCs w:val="24"/>
        </w:rPr>
      </w:pPr>
      <w:r>
        <w:rPr>
          <w:rStyle w:val="UserStyle_99"/>
          <w:rFonts w:cs="Times New Roman"/>
          <w:sz w:val="24"/>
          <w:szCs w:val="24"/>
        </w:rPr>
        <w:t xml:space="preserve">ООО «Центр стоматологии «Голливуд»</w:t>
      </w:r>
      <w:r>
        <w:rPr>
          <w:rStyle w:val="UserStyle_99"/>
          <w:rFonts w:cs="Times New Roman"/>
          <w:sz w:val="24"/>
          <w:szCs w:val="24"/>
        </w:rPr>
      </w:r>
    </w:p>
    <w:p>
      <w:pPr>
        <w:pStyle w:val="Normal"/>
        <w:jc w:val="right"/>
        <w:rPr>
          <w:rStyle w:val="UserStyle_99"/>
          <w:rFonts w:cs="Times New Roman"/>
          <w:sz w:val="24"/>
          <w:szCs w:val="24"/>
          <w:vertAlign w:val="superscript"/>
        </w:rPr>
      </w:pPr>
      <w:r>
        <w:rPr>
          <w:rStyle w:val="UserStyle_99"/>
          <w:rFonts w:cs="Times New Roman"/>
          <w:sz w:val="24"/>
          <w:szCs w:val="24"/>
        </w:rPr>
        <w:t xml:space="preserve">________________________</w:t>
      </w:r>
      <w:r>
        <w:rPr>
          <w:rStyle w:val="UserStyle_99"/>
          <w:rFonts w:cs="Times New Roman"/>
          <w:sz w:val="24"/>
          <w:szCs w:val="24"/>
          <w:vertAlign w:val="superscript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UserStyle_99"/>
          <w:rFonts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UserStyle_99"/>
          <w:rFonts w:cs="Times New Roman"/>
          <w:sz w:val="24"/>
          <w:szCs w:val="24"/>
          <w:vertAlign w:val="superscript"/>
        </w:rPr>
        <w:t xml:space="preserve">Подпись                    Дата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10"/>
        <w:widowControl/>
        <w:ind w:left="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10"/>
        <w:widowControl/>
        <w:ind w:left="0"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№1</w:t>
      </w:r>
    </w:p>
    <w:p>
      <w:pPr>
        <w:pStyle w:val="Normal"/>
        <w:jc w:val="right"/>
      </w:pPr>
      <w:r>
        <w:t xml:space="preserve">к приказу  №  04/05/18-1  от  04 мая 2018года</w:t>
      </w:r>
    </w:p>
    <w:p>
      <w:pPr>
        <w:pStyle w:val="Normal"/>
        <w:jc w:val="right"/>
      </w:pPr>
    </w:p>
    <w:p>
      <w:pPr>
        <w:pStyle w:val="Normal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 xml:space="preserve">Правила, порядки, условия, формы оказания </w:t>
      </w: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 xml:space="preserve">медицинских услуг и их оплаты </w:t>
      </w:r>
      <w:r>
        <w:rPr>
          <w:b/>
          <w:sz w:val="32"/>
        </w:rPr>
      </w:r>
    </w:p>
    <w:p>
      <w:pPr>
        <w:pStyle w:val="Normal"/>
        <w:jc w:val="center"/>
      </w:pPr>
      <w:r>
        <w:rPr>
          <w:b/>
          <w:sz w:val="32"/>
        </w:rPr>
        <w:t xml:space="preserve">в ООО «Центр стоматологии «Голливуд»</w:t>
      </w: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  <w:r>
        <w:t xml:space="preserve"> </w:t>
      </w: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right"/>
      </w:pPr>
    </w:p>
    <w:p>
      <w:pPr>
        <w:pStyle w:val="Normal"/>
        <w:pageBreakBefore/>
        <w:jc w:val="center"/>
      </w:pPr>
    </w:p>
    <w:p>
      <w:pPr>
        <w:pStyle w:val="Normal"/>
        <w:numPr>
          <w:numId w:val="2"/>
          <w:ilvl w:val="0"/>
        </w:numPr>
        <w:jc w:val="center"/>
      </w:pPr>
      <w:r>
        <w:t xml:space="preserve">ОБЩИЕ ПОЛОЖЕНИЯ</w:t>
      </w:r>
    </w:p>
    <w:p>
      <w:pPr>
        <w:pStyle w:val="Normal"/>
        <w:numPr>
          <w:numId w:val="2"/>
          <w:ilvl w:val="1"/>
        </w:numPr>
        <w:jc w:val="both"/>
      </w:pPr>
      <w:r>
        <w:t xml:space="preserve"> Настоящие «Правила, порядки, условия, формы оказания медицинских услуг и их оплаты» (далее по тексту – Правила) определяют правила, порядки, условия, формы оказания медицинских услуг и их оплату в ООО «</w:t>
      </w:r>
      <w:r>
        <w:rPr>
          <w:rStyle w:val="UserStyle_99"/>
          <w:rFonts w:cs="Times New Roman"/>
          <w:sz w:val="24"/>
          <w:szCs w:val="24"/>
        </w:rPr>
        <w:t xml:space="preserve">Центр стоматологии «Голливуд</w:t>
      </w:r>
      <w:r>
        <w:t xml:space="preserve">» (далее по тексту – Клиника).</w:t>
      </w:r>
    </w:p>
    <w:p>
      <w:pPr>
        <w:pStyle w:val="Normal"/>
        <w:numPr>
          <w:numId w:val="2"/>
          <w:ilvl w:val="1"/>
        </w:numPr>
        <w:jc w:val="both"/>
      </w:pPr>
      <w:r>
        <w:t xml:space="preserve">Настоящие Правила разработано в соответствии с Гражданским кодексом РФ, законом «О защите прав потребителей», Правилами предоставления медицинскими организациями платных медицинских услуг (ППРФ от 4 октября 2012 г. N 1006 "Об утверждении Правил предоставления медицинскими организациями платных медицинских услуг"), </w:t>
      </w:r>
      <w:r>
        <w:rPr>
          <w:color w:val="000000"/>
        </w:rPr>
        <w:t xml:space="preserve">Федеральным законом N 323-ФЗ "Об основах охраны здоровья граждан в Российской Федерации".</w:t>
      </w:r>
    </w:p>
    <w:p>
      <w:pPr>
        <w:pStyle w:val="Normal"/>
        <w:ind w:left="360" w:right="0" w:firstLine="0"/>
        <w:jc w:val="both"/>
      </w:pPr>
    </w:p>
    <w:p>
      <w:pPr>
        <w:pStyle w:val="Normal"/>
        <w:numPr>
          <w:numId w:val="2"/>
          <w:ilvl w:val="0"/>
        </w:numPr>
        <w:jc w:val="center"/>
      </w:pPr>
      <w:r>
        <w:t xml:space="preserve">ОБЩИЕ ПРАВИЛА</w:t>
      </w:r>
    </w:p>
    <w:p>
      <w:pPr>
        <w:pStyle w:val="Normal"/>
        <w:numPr>
          <w:numId w:val="2"/>
          <w:ilvl w:val="1"/>
        </w:numPr>
        <w:jc w:val="both"/>
      </w:pPr>
      <w:r>
        <w:t xml:space="preserve"> Клиника оказывает первичную медико-санитарную и специализированную медицинскую помощь взрослому и детскому населению по обращению (далее по тексту – Пациент). </w:t>
      </w:r>
    </w:p>
    <w:p>
      <w:pPr>
        <w:pStyle w:val="Normal"/>
        <w:numPr>
          <w:numId w:val="2"/>
          <w:ilvl w:val="1"/>
        </w:numPr>
        <w:jc w:val="both"/>
      </w:pPr>
      <w:r>
        <w:t xml:space="preserve">Лечащим врачом, то есть врачом, оказывающим медицинскую помощь пациенту в период его наблюдения и лечения в Клинике, является врач определенной стоматологической специальности, в зависимости от причины обращения пациента за медицинской помощью.</w:t>
      </w:r>
    </w:p>
    <w:p>
      <w:pPr>
        <w:pStyle w:val="Normal"/>
        <w:numPr>
          <w:numId w:val="2"/>
          <w:ilvl w:val="1"/>
        </w:numPr>
        <w:jc w:val="both"/>
      </w:pPr>
      <w:r>
        <w:t xml:space="preserve">Лечащий врач назначается по выбору пациента или специалистами регистратуры по согласованию с пациентом.</w:t>
      </w:r>
    </w:p>
    <w:p>
      <w:pPr>
        <w:pStyle w:val="Normal"/>
        <w:numPr>
          <w:numId w:val="2"/>
          <w:ilvl w:val="1"/>
        </w:numPr>
        <w:jc w:val="both"/>
      </w:pPr>
      <w:r>
        <w:t xml:space="preserve">Лечащий врач организует своевременное и квалифицированное обследование и лечение пациента, предоставляет информацию о состоянии его здоровья, в необходимых случаях направляет на консультации к врачам-специалистам. Рекомендации врачей-консультантов реализуются по согласованию с лечащим врачом, за исключением случаев, угрожающих жизни пациента.</w:t>
      </w:r>
    </w:p>
    <w:p>
      <w:pPr>
        <w:pStyle w:val="Normal"/>
        <w:numPr>
          <w:numId w:val="2"/>
          <w:ilvl w:val="1"/>
        </w:numPr>
        <w:jc w:val="both"/>
      </w:pPr>
      <w:r>
        <w:t xml:space="preserve">Лечащий врач по согласованию с главным врачом может отказаться от наблюдения и лечения пациента, если это не угрожает жизни самого пациента, в случаях несоблюдения пациентом врачебных предписаний, условий заключенного с ним Договора (в случае его заключения), или настоящих Правил.</w:t>
      </w:r>
    </w:p>
    <w:p>
      <w:pPr>
        <w:pStyle w:val="Normal"/>
        <w:numPr>
          <w:numId w:val="2"/>
          <w:ilvl w:val="1"/>
        </w:numPr>
        <w:jc w:val="both"/>
      </w:pPr>
      <w:r>
        <w:t xml:space="preserve">Медицинские услуги оказываются пациентам на платной основе.</w:t>
      </w:r>
    </w:p>
    <w:p>
      <w:pPr>
        <w:pStyle w:val="Normal"/>
        <w:jc w:val="both"/>
      </w:pPr>
    </w:p>
    <w:p>
      <w:pPr>
        <w:pStyle w:val="Normal"/>
        <w:numPr>
          <w:numId w:val="2"/>
          <w:ilvl w:val="0"/>
        </w:numPr>
        <w:jc w:val="center"/>
      </w:pPr>
      <w:r>
        <w:t xml:space="preserve"> ВРЕМЯ РАБОТЫ </w:t>
      </w:r>
    </w:p>
    <w:p>
      <w:pPr>
        <w:pStyle w:val="Normal"/>
        <w:numPr>
          <w:numId w:val="2"/>
          <w:ilvl w:val="1"/>
        </w:numPr>
        <w:jc w:val="both"/>
      </w:pPr>
      <w:r>
        <w:t xml:space="preserve"> Клиника работает с 8</w:t>
      </w:r>
      <w:r>
        <w:rPr>
          <w:vertAlign w:val="superscript"/>
        </w:rPr>
        <w:t xml:space="preserve">00</w:t>
      </w:r>
      <w:r>
        <w:t xml:space="preserve"> до 20</w:t>
      </w:r>
      <w:r>
        <w:rPr>
          <w:vertAlign w:val="superscript"/>
        </w:rPr>
        <w:t xml:space="preserve">00</w:t>
      </w:r>
      <w:r>
        <w:t xml:space="preserve"> часа в будние дни и субботы. Воскресенье – с 9.00</w:t>
      </w:r>
      <w:r>
        <w:rPr>
          <w:vertAlign w:val="superscript"/>
        </w:rPr>
        <w:t xml:space="preserve">00</w:t>
      </w:r>
      <w:r>
        <w:t xml:space="preserve"> до 18</w:t>
      </w:r>
      <w:r>
        <w:rPr>
          <w:vertAlign w:val="superscript"/>
        </w:rPr>
        <w:t xml:space="preserve">00</w:t>
      </w:r>
      <w:r>
        <w:t xml:space="preserve"> часов. </w:t>
      </w:r>
    </w:p>
    <w:p>
      <w:pPr>
        <w:pStyle w:val="Normal"/>
        <w:numPr>
          <w:numId w:val="2"/>
          <w:ilvl w:val="1"/>
        </w:numPr>
        <w:jc w:val="both"/>
      </w:pPr>
      <w:r>
        <w:t xml:space="preserve">В праздничные дни режим работы регламентируется приказом главного врача.</w:t>
      </w:r>
    </w:p>
    <w:p>
      <w:pPr>
        <w:pStyle w:val="Normal"/>
        <w:numPr>
          <w:numId w:val="2"/>
          <w:ilvl w:val="1"/>
        </w:numPr>
        <w:jc w:val="both"/>
      </w:pPr>
      <w:r>
        <w:t xml:space="preserve">Приём врачей всех специальностей осуществляется по скользящему графику, составляемому и  утверждаемому главным врачом.</w:t>
      </w:r>
    </w:p>
    <w:p>
      <w:pPr>
        <w:pStyle w:val="Normal"/>
        <w:numPr>
          <w:numId w:val="2"/>
          <w:ilvl w:val="1"/>
        </w:numPr>
        <w:jc w:val="both"/>
      </w:pPr>
      <w:r>
        <w:t xml:space="preserve">Информация о фамилии, имени, отчестве, специальности и  квалификации специалистов находится в регистратуре.</w:t>
      </w:r>
    </w:p>
    <w:p>
      <w:pPr>
        <w:pStyle w:val="Normal"/>
      </w:pPr>
    </w:p>
    <w:p>
      <w:pPr>
        <w:pStyle w:val="Normal"/>
        <w:numPr>
          <w:numId w:val="2"/>
          <w:ilvl w:val="0"/>
        </w:numPr>
        <w:jc w:val="center"/>
      </w:pPr>
      <w:r>
        <w:t xml:space="preserve">ПОРЯДОК ОБРАЩЕНИЯ ПАЦИЕНТОВ</w:t>
      </w:r>
    </w:p>
    <w:p>
      <w:pPr>
        <w:pStyle w:val="Normal"/>
        <w:numPr>
          <w:numId w:val="2"/>
          <w:ilvl w:val="1"/>
        </w:numPr>
        <w:jc w:val="both"/>
      </w:pPr>
      <w:r>
        <w:t xml:space="preserve">Запись пациента на амбулаторный приём к врачу осуществляется в регистратуре и по телефону 8(831) 422-4555;</w:t>
      </w:r>
    </w:p>
    <w:p>
      <w:pPr>
        <w:pStyle w:val="Normal"/>
        <w:numPr>
          <w:numId w:val="2"/>
          <w:ilvl w:val="1"/>
        </w:numPr>
        <w:jc w:val="both"/>
      </w:pPr>
      <w:r>
        <w:t xml:space="preserve">При первичном обращении в Клинику Пациент должен предъявить документа, удостоверяющий личность.</w:t>
      </w:r>
    </w:p>
    <w:p>
      <w:pPr>
        <w:pStyle w:val="Normal"/>
        <w:jc w:val="both"/>
      </w:pPr>
    </w:p>
    <w:p>
      <w:pPr>
        <w:pStyle w:val="Normal"/>
        <w:numPr>
          <w:numId w:val="2"/>
          <w:ilvl w:val="1"/>
        </w:numPr>
        <w:jc w:val="both"/>
      </w:pPr>
      <w:r>
        <w:t xml:space="preserve">При наличии показаний лечащий врач направляет пациента на стационарное лечение в городские больничные учреждения.</w:t>
      </w:r>
    </w:p>
    <w:p>
      <w:pPr>
        <w:pStyle w:val="Normal"/>
        <w:numPr>
          <w:numId w:val="2"/>
          <w:ilvl w:val="1"/>
        </w:numPr>
        <w:jc w:val="both"/>
      </w:pPr>
      <w:r>
        <w:t xml:space="preserve">Повторный приём пациента осуществляется в день и время, назначенное врачом.  Неявка на приём в назначенный день влечет правовые последствия в соответствие с договором на оказание платных медицинских услуг.</w:t>
      </w:r>
    </w:p>
    <w:p>
      <w:pPr>
        <w:pStyle w:val="Normal"/>
        <w:numPr>
          <w:numId w:val="2"/>
          <w:ilvl w:val="1"/>
        </w:numPr>
      </w:pPr>
      <w:r>
        <w:t xml:space="preserve">В случае необходимости направления на консультацию или госпитализацию в другие лечебные учреждения пациенту выдаётся направление установленного образца и выписка из медицинской карты.</w:t>
      </w:r>
    </w:p>
    <w:p>
      <w:pPr>
        <w:pStyle w:val="Normal"/>
        <w:ind w:left="360" w:right="0" w:firstLine="0"/>
      </w:pPr>
    </w:p>
    <w:p>
      <w:pPr>
        <w:pStyle w:val="Normal"/>
        <w:numPr>
          <w:numId w:val="2"/>
          <w:ilvl w:val="0"/>
        </w:numPr>
        <w:jc w:val="center"/>
      </w:pPr>
      <w:r>
        <w:t xml:space="preserve">ПРАВА ПАЦИЕНТА  </w:t>
      </w:r>
    </w:p>
    <w:p>
      <w:pPr>
        <w:pStyle w:val="Normal"/>
        <w:numPr>
          <w:numId w:val="2"/>
          <w:ilvl w:val="1"/>
        </w:numPr>
        <w:jc w:val="both"/>
        <w:rPr>
          <w:rStyle w:val="UserStyle_100"/>
        </w:rPr>
      </w:pPr>
      <w:r>
        <w:t xml:space="preserve"> При обращении в Клинику </w:t>
      </w:r>
      <w:r>
        <w:rPr>
          <w:rStyle w:val="UserStyle_100"/>
        </w:rPr>
        <w:t xml:space="preserve">Пациент имеет право на:</w:t>
      </w:r>
      <w:r>
        <w:rPr>
          <w:rStyle w:val="UserStyle_100"/>
        </w:rPr>
      </w:r>
    </w:p>
    <w:p>
      <w:pPr>
        <w:pStyle w:val="Normal"/>
        <w:numPr>
          <w:numId w:val="3"/>
          <w:ilvl w:val="2"/>
        </w:numPr>
        <w:jc w:val="both"/>
        <w:rPr>
          <w:rStyle w:val="UserStyle_100"/>
        </w:rPr>
      </w:pPr>
      <w:r>
        <w:rPr>
          <w:rStyle w:val="UserStyle_100"/>
        </w:rPr>
        <w:t xml:space="preserve">выбор лечащего врача;</w:t>
      </w:r>
      <w:r>
        <w:rPr>
          <w:rStyle w:val="UserStyle_100"/>
        </w:rPr>
      </w:r>
    </w:p>
    <w:p>
      <w:pPr>
        <w:pStyle w:val="Normal"/>
        <w:numPr>
          <w:numId w:val="3"/>
          <w:ilvl w:val="2"/>
        </w:numPr>
        <w:jc w:val="both"/>
        <w:rPr>
          <w:rStyle w:val="UserStyle_100"/>
        </w:rPr>
      </w:pPr>
      <w:r>
        <w:rPr>
          <w:rStyle w:val="UserStyle_100"/>
        </w:rPr>
        <w:t xml:space="preserve">профилактику, диагностику, лечение, медицинскую реабилитацию в условиях, соответствующих санитарно-гигиеническим требованиям;</w:t>
      </w:r>
      <w:r>
        <w:rPr>
          <w:rStyle w:val="UserStyle_100"/>
        </w:rPr>
      </w:r>
    </w:p>
    <w:p>
      <w:pPr>
        <w:pStyle w:val="Normal"/>
        <w:numPr>
          <w:numId w:val="3"/>
          <w:ilvl w:val="2"/>
        </w:numPr>
        <w:jc w:val="both"/>
        <w:rPr>
          <w:rStyle w:val="UserStyle_100"/>
        </w:rPr>
      </w:pPr>
      <w:r>
        <w:rPr>
          <w:rStyle w:val="UserStyle_100"/>
        </w:rPr>
        <w:t xml:space="preserve">получение консультаций врачей-специалистов;</w:t>
      </w:r>
      <w:r>
        <w:rPr>
          <w:rStyle w:val="UserStyle_100"/>
        </w:rPr>
      </w:r>
    </w:p>
    <w:p>
      <w:pPr>
        <w:pStyle w:val="Normal"/>
        <w:numPr>
          <w:numId w:val="3"/>
          <w:ilvl w:val="2"/>
        </w:numPr>
        <w:jc w:val="both"/>
        <w:rPr>
          <w:rStyle w:val="UserStyle_100"/>
        </w:rPr>
      </w:pPr>
      <w:r>
        <w:rPr>
          <w:rStyle w:val="UserStyle_100"/>
        </w:rPr>
        <w:t xml:space="preserve">облегчение боли, связанной с заболеванием и (или) медицинским вмешательством, доступными методами и лекарственными препаратами;</w:t>
      </w:r>
      <w:r>
        <w:rPr>
          <w:rStyle w:val="UserStyle_100"/>
        </w:rPr>
      </w:r>
    </w:p>
    <w:p>
      <w:pPr>
        <w:pStyle w:val="Normal"/>
        <w:numPr>
          <w:numId w:val="3"/>
          <w:ilvl w:val="2"/>
        </w:numPr>
        <w:jc w:val="both"/>
        <w:rPr>
          <w:rStyle w:val="UserStyle_100"/>
        </w:rPr>
      </w:pPr>
      <w:r>
        <w:rPr>
          <w:rStyle w:val="UserStyle_100"/>
        </w:rPr>
        <w:t xml:space="preserve"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  <w:r>
        <w:rPr>
          <w:rStyle w:val="UserStyle_100"/>
        </w:rPr>
      </w:r>
    </w:p>
    <w:p>
      <w:pPr>
        <w:pStyle w:val="Normal"/>
        <w:numPr>
          <w:numId w:val="3"/>
          <w:ilvl w:val="2"/>
        </w:numPr>
        <w:jc w:val="both"/>
        <w:rPr>
          <w:rStyle w:val="UserStyle_100"/>
        </w:rPr>
      </w:pPr>
      <w:r>
        <w:rPr>
          <w:rStyle w:val="UserStyle_100"/>
        </w:rPr>
        <w:t xml:space="preserve">защиту сведений, составляющих врачебную тайну;</w:t>
      </w:r>
      <w:r>
        <w:rPr>
          <w:rStyle w:val="UserStyle_100"/>
        </w:rPr>
      </w:r>
    </w:p>
    <w:p>
      <w:pPr>
        <w:pStyle w:val="Normal"/>
        <w:numPr>
          <w:numId w:val="3"/>
          <w:ilvl w:val="2"/>
        </w:numPr>
        <w:jc w:val="both"/>
        <w:rPr>
          <w:rStyle w:val="UserStyle_100"/>
        </w:rPr>
      </w:pPr>
      <w:r>
        <w:rPr>
          <w:rStyle w:val="UserStyle_100"/>
        </w:rPr>
        <w:t xml:space="preserve">отказ от медицинского вмешательства;</w:t>
      </w:r>
      <w:r>
        <w:rPr>
          <w:rStyle w:val="UserStyle_100"/>
        </w:rPr>
      </w:r>
    </w:p>
    <w:p>
      <w:pPr>
        <w:pStyle w:val="Normal"/>
        <w:numPr>
          <w:numId w:val="3"/>
          <w:ilvl w:val="2"/>
        </w:numPr>
        <w:jc w:val="both"/>
        <w:rPr>
          <w:rStyle w:val="UserStyle_100"/>
        </w:rPr>
      </w:pPr>
      <w:r>
        <w:rPr>
          <w:rStyle w:val="UserStyle_100"/>
        </w:rPr>
        <w:t xml:space="preserve">возмещение вреда, причиненного здоровью при оказании ему медицинской помощи;</w:t>
      </w:r>
      <w:r>
        <w:rPr>
          <w:rStyle w:val="UserStyle_100"/>
        </w:rPr>
      </w:r>
    </w:p>
    <w:p>
      <w:pPr>
        <w:pStyle w:val="Normal"/>
        <w:numPr>
          <w:numId w:val="3"/>
          <w:ilvl w:val="2"/>
        </w:numPr>
        <w:jc w:val="both"/>
        <w:rPr>
          <w:rStyle w:val="UserStyle_100"/>
        </w:rPr>
      </w:pPr>
      <w:r>
        <w:rPr>
          <w:rStyle w:val="UserStyle_100"/>
        </w:rPr>
        <w:t xml:space="preserve">допуск к нему адвоката или </w:t>
      </w:r>
      <w:r>
        <w:rPr>
          <w:rStyle w:val="UserStyle_101"/>
        </w:rPr>
        <w:t xml:space="preserve">законного представителя</w:t>
      </w:r>
      <w:r>
        <w:rPr>
          <w:rStyle w:val="UserStyle_100"/>
        </w:rPr>
        <w:t xml:space="preserve"> для защиты своих прав, священнослужителя.</w:t>
      </w:r>
      <w:r>
        <w:rPr>
          <w:rStyle w:val="UserStyle_100"/>
        </w:rPr>
      </w:r>
    </w:p>
    <w:p>
      <w:pPr>
        <w:pStyle w:val="Normal"/>
        <w:numPr>
          <w:numId w:val="2"/>
          <w:ilvl w:val="1"/>
        </w:numPr>
        <w:jc w:val="both"/>
      </w:pPr>
      <w:r>
        <w:rPr>
          <w:rStyle w:val="UserStyle_100"/>
        </w:rPr>
        <w:t xml:space="preserve">За реализацию Права пациента в клинике отвечает лечащий врач.</w:t>
      </w:r>
    </w:p>
    <w:p>
      <w:pPr>
        <w:pStyle w:val="Normal"/>
        <w:ind w:left="360" w:right="0" w:firstLine="0"/>
        <w:jc w:val="both"/>
      </w:pPr>
    </w:p>
    <w:p>
      <w:pPr>
        <w:pStyle w:val="Normal"/>
        <w:numPr>
          <w:numId w:val="2"/>
          <w:ilvl w:val="0"/>
        </w:numPr>
        <w:jc w:val="center"/>
      </w:pPr>
      <w:r>
        <w:t xml:space="preserve">ОБЯЗАННОСТИ ПАЦИЕНТА </w:t>
      </w:r>
    </w:p>
    <w:p>
      <w:pPr>
        <w:pStyle w:val="Normal"/>
        <w:numPr>
          <w:numId w:val="2"/>
          <w:ilvl w:val="1"/>
        </w:numPr>
        <w:jc w:val="both"/>
      </w:pPr>
      <w:r>
        <w:t xml:space="preserve"> Пациент обязан:</w:t>
      </w:r>
    </w:p>
    <w:p>
      <w:pPr>
        <w:pStyle w:val="Normal"/>
        <w:numPr>
          <w:numId w:val="1"/>
          <w:ilvl w:val="2"/>
        </w:numPr>
        <w:jc w:val="both"/>
      </w:pPr>
      <w:r>
        <w:t xml:space="preserve">выполнять настоящие правила внутреннего распорядка;</w:t>
      </w:r>
    </w:p>
    <w:p>
      <w:pPr>
        <w:pStyle w:val="Normal"/>
        <w:numPr>
          <w:numId w:val="1"/>
          <w:ilvl w:val="2"/>
        </w:numPr>
        <w:jc w:val="both"/>
      </w:pPr>
      <w:r>
        <w:t xml:space="preserve">выполнять предписания лечащего врача;</w:t>
      </w:r>
    </w:p>
    <w:p>
      <w:pPr>
        <w:pStyle w:val="Normal"/>
        <w:numPr>
          <w:numId w:val="1"/>
          <w:ilvl w:val="2"/>
        </w:numPr>
        <w:jc w:val="both"/>
      </w:pPr>
      <w:r>
        <w:t xml:space="preserve">соблюдать правила гигиены, санитарные нормы нахождения в медицинском учреждении;</w:t>
      </w:r>
    </w:p>
    <w:p>
      <w:pPr>
        <w:pStyle w:val="Normal"/>
        <w:numPr>
          <w:numId w:val="1"/>
          <w:ilvl w:val="2"/>
        </w:numPr>
        <w:jc w:val="both"/>
      </w:pPr>
      <w:r>
        <w:t xml:space="preserve">уважительно относиться к другим пациентам и посетителям Клиники, к медицинскому и обслуживающему персоналу поликлиники, соблюдать общепринятые правила этики и поведения.</w:t>
      </w:r>
    </w:p>
    <w:p>
      <w:pPr>
        <w:pStyle w:val="Normal"/>
        <w:ind w:left="720" w:right="0" w:firstLine="0"/>
        <w:jc w:val="both"/>
      </w:pPr>
    </w:p>
    <w:p>
      <w:pPr>
        <w:pStyle w:val="Normal"/>
        <w:numPr>
          <w:numId w:val="2"/>
          <w:ilvl w:val="0"/>
        </w:numPr>
        <w:jc w:val="center"/>
      </w:pPr>
      <w:r>
        <w:t xml:space="preserve"> ПОРЯДОК ОКАЗАНИЯ ПЛАТНЫХ МЕДИЦИСКИХ УСЛУГ</w:t>
      </w:r>
    </w:p>
    <w:p>
      <w:pPr>
        <w:pStyle w:val="Normal"/>
        <w:numPr>
          <w:numId w:val="2"/>
          <w:ilvl w:val="1"/>
        </w:numPr>
        <w:jc w:val="both"/>
      </w:pPr>
      <w:r>
        <w:t xml:space="preserve"> Платные медицинские услуги предоставляются в виде профилактической, лечебно-диагностической, реабилитационной медицинской помощи.</w:t>
      </w:r>
    </w:p>
    <w:p>
      <w:pPr>
        <w:pStyle w:val="Normal"/>
        <w:numPr>
          <w:numId w:val="2"/>
          <w:ilvl w:val="1"/>
        </w:numPr>
        <w:jc w:val="both"/>
      </w:pPr>
      <w:r>
        <w:t xml:space="preserve">Платные медицинские услуги оказываются пациентам по их желанию на основании заключенного с ними Договора.</w:t>
      </w:r>
    </w:p>
    <w:p>
      <w:pPr>
        <w:pStyle w:val="Normal"/>
        <w:numPr>
          <w:numId w:val="2"/>
          <w:ilvl w:val="1"/>
        </w:numPr>
        <w:jc w:val="both"/>
      </w:pPr>
      <w:r>
        <w:t xml:space="preserve">Порядок оказания платных медицинских услуг:</w:t>
      </w:r>
    </w:p>
    <w:p>
      <w:pPr>
        <w:pStyle w:val="Normal"/>
        <w:numPr>
          <w:numId w:val="2"/>
          <w:ilvl w:val="2"/>
        </w:numPr>
        <w:jc w:val="both"/>
      </w:pPr>
      <w:r>
        <w:t xml:space="preserve">В день записи на первичный приём в регистратуре оформляется медицинская карта пациента, договор на оказание платных медицинских услуг в 2-х экземплярах, необходимые Приложения к договору, согласие на обработку персональных данных.</w:t>
      </w:r>
    </w:p>
    <w:p>
      <w:pPr>
        <w:pStyle w:val="Normal"/>
        <w:numPr>
          <w:numId w:val="2"/>
          <w:ilvl w:val="2"/>
        </w:numPr>
        <w:jc w:val="both"/>
      </w:pPr>
      <w:r>
        <w:t xml:space="preserve">Перед лечением пациентом заполняется Анкета, которая является приложением к договору об оказании платных медицинских услуг и частью медицинской карты пациента. </w:t>
      </w:r>
    </w:p>
    <w:p>
      <w:pPr>
        <w:pStyle w:val="Normal"/>
        <w:numPr>
          <w:numId w:val="2"/>
          <w:ilvl w:val="2"/>
        </w:numPr>
        <w:jc w:val="both"/>
        <w:rPr>
          <w:rStyle w:val="UserStyle_99"/>
          <w:rFonts w:cs="Times New Roman"/>
          <w:sz w:val="24"/>
          <w:szCs w:val="24"/>
        </w:rPr>
      </w:pPr>
      <w:r>
        <w:t xml:space="preserve">В начале приёма лечащий врач производит </w:t>
      </w:r>
      <w:r>
        <w:rPr>
          <w:rStyle w:val="UserStyle_99"/>
          <w:rFonts w:cs="Times New Roman"/>
          <w:sz w:val="24"/>
          <w:szCs w:val="24"/>
        </w:rPr>
        <w:t xml:space="preserve">собеседование и осмотр Пациента, </w:t>
      </w:r>
      <w:r>
        <w:t xml:space="preserve">разъясняет суть диагностики и возможного лечения,</w:t>
      </w:r>
      <w:r>
        <w:rPr>
          <w:rStyle w:val="UserStyle_99"/>
          <w:rFonts w:cs="Times New Roman"/>
          <w:sz w:val="24"/>
          <w:szCs w:val="24"/>
        </w:rPr>
        <w:t xml:space="preserve"> устанавливает предварительный диагноз, предлагает методы и возможные варианты лечения, объясняет последствия отказа от лечения и предполагаемые результаты лечения, степень риска лечения и возможные осложнения, </w:t>
      </w:r>
      <w:r>
        <w:t xml:space="preserve">согласовывает с Пациентом этапы лечения, конструкцию протезов и материалов, доводит до сведения пациента ориентировочную стоимость лечения, после чего с пациентом оформляется Информированное согласие на лечение, и, при необходимости, Предварительный план лечения.</w:t>
      </w:r>
      <w:r>
        <w:rPr>
          <w:rStyle w:val="UserStyle_99"/>
          <w:rFonts w:cs="Times New Roman"/>
          <w:sz w:val="24"/>
          <w:szCs w:val="24"/>
        </w:rPr>
      </w:r>
    </w:p>
    <w:p>
      <w:pPr>
        <w:pStyle w:val="Normal"/>
        <w:numPr>
          <w:numId w:val="2"/>
          <w:ilvl w:val="2"/>
        </w:numPr>
        <w:jc w:val="both"/>
        <w:rPr>
          <w:rStyle w:val="UserStyle_99"/>
          <w:rFonts w:cs="Times New Roman"/>
          <w:sz w:val="24"/>
          <w:szCs w:val="24"/>
        </w:rPr>
      </w:pPr>
      <w:r>
        <w:rPr>
          <w:rStyle w:val="UserStyle_99"/>
          <w:rFonts w:cs="Times New Roman"/>
          <w:sz w:val="24"/>
          <w:szCs w:val="24"/>
        </w:rPr>
        <w:t xml:space="preserve">Подробное описание оказываемых Услуг отражается в Медицинской карте Пациента и Информированном добровольном согласии. </w:t>
      </w:r>
      <w:r>
        <w:rPr>
          <w:rStyle w:val="UserStyle_99"/>
          <w:rFonts w:cs="Times New Roman"/>
          <w:sz w:val="24"/>
          <w:szCs w:val="24"/>
        </w:rPr>
      </w:r>
    </w:p>
    <w:p>
      <w:pPr>
        <w:pStyle w:val="Normal"/>
        <w:numPr>
          <w:numId w:val="2"/>
          <w:ilvl w:val="2"/>
        </w:numPr>
        <w:jc w:val="both"/>
        <w:rPr>
          <w:rStyle w:val="UserStyle_99"/>
          <w:rFonts w:cs="Times New Roman"/>
          <w:sz w:val="24"/>
          <w:szCs w:val="24"/>
        </w:rPr>
      </w:pPr>
      <w:r>
        <w:rPr>
          <w:rStyle w:val="UserStyle_99"/>
          <w:rFonts w:cs="Times New Roman"/>
          <w:sz w:val="24"/>
          <w:szCs w:val="24"/>
        </w:rPr>
        <w:t xml:space="preserve">Услуги оказываются персоналом Клиники (врачами и средним медицинским персоналом) в помещении, на оборудовании и с материалами Клиники в соответствии с согласованным Предварительным планом лечения.</w:t>
      </w:r>
      <w:r>
        <w:rPr>
          <w:rStyle w:val="UserStyle_99"/>
          <w:rFonts w:cs="Times New Roman"/>
          <w:sz w:val="24"/>
          <w:szCs w:val="24"/>
        </w:rPr>
      </w:r>
    </w:p>
    <w:p>
      <w:pPr>
        <w:pStyle w:val="Normal"/>
        <w:numPr>
          <w:numId w:val="2"/>
          <w:ilvl w:val="2"/>
        </w:numPr>
        <w:jc w:val="both"/>
        <w:rPr>
          <w:rStyle w:val="UserStyle_99"/>
          <w:rFonts w:cs="Times New Roman"/>
          <w:sz w:val="24"/>
          <w:szCs w:val="24"/>
        </w:rPr>
      </w:pPr>
      <w:r>
        <w:rPr>
          <w:rStyle w:val="UserStyle_99"/>
          <w:rFonts w:cs="Times New Roman"/>
          <w:sz w:val="24"/>
          <w:szCs w:val="24"/>
        </w:rPr>
        <w:t xml:space="preserve">Клиника не оказывает медицинские Услуги в случае невозможности безопасного оказания Услуг, в том числе, если врач выявил у Пациента аллергические реакции, противопоказания или определенные заболевания (в том числе острые воспалительные инфекционные заболевания), состояние опьянения.</w:t>
      </w:r>
      <w:r>
        <w:rPr>
          <w:rStyle w:val="UserStyle_99"/>
          <w:rFonts w:cs="Times New Roman"/>
          <w:sz w:val="24"/>
          <w:szCs w:val="24"/>
        </w:rPr>
      </w:r>
    </w:p>
    <w:p>
      <w:pPr>
        <w:pStyle w:val="Normal"/>
        <w:numPr>
          <w:numId w:val="2"/>
          <w:ilvl w:val="2"/>
        </w:numPr>
        <w:jc w:val="both"/>
        <w:rPr>
          <w:rStyle w:val="UserStyle_99"/>
          <w:rFonts w:cs="Times New Roman"/>
          <w:sz w:val="24"/>
          <w:szCs w:val="24"/>
        </w:rPr>
      </w:pPr>
      <w:r>
        <w:rPr>
          <w:rStyle w:val="UserStyle_99"/>
          <w:rFonts w:cs="Times New Roman"/>
          <w:sz w:val="24"/>
          <w:szCs w:val="24"/>
        </w:rPr>
        <w:t xml:space="preserve">Если в процессе оказания услуг возникла необходимость изменения Плана лечения и (или) выполнения дополнительных действий, связанных с медицинскими показаниями, то такие Услуги выполняются с предварительного согласия Пациента. Отказ Пациента от проведения дополнительных действий, связанных с медицинским вмешательством, оформляется письменно с разъяснением пациенту последствий такого отказа.</w:t>
      </w:r>
      <w:r>
        <w:rPr>
          <w:rStyle w:val="UserStyle_99"/>
          <w:rFonts w:cs="Times New Roman"/>
          <w:sz w:val="24"/>
          <w:szCs w:val="24"/>
        </w:rPr>
      </w:r>
    </w:p>
    <w:p>
      <w:pPr>
        <w:pStyle w:val="Normal"/>
        <w:numPr>
          <w:numId w:val="2"/>
          <w:ilvl w:val="2"/>
        </w:numPr>
        <w:jc w:val="both"/>
        <w:rPr>
          <w:rStyle w:val="UserStyle_99"/>
          <w:rFonts w:cs="Times New Roman"/>
          <w:sz w:val="24"/>
          <w:szCs w:val="24"/>
        </w:rPr>
      </w:pPr>
      <w:r>
        <w:rPr>
          <w:rStyle w:val="UserStyle_99"/>
          <w:rFonts w:cs="Times New Roman"/>
          <w:sz w:val="24"/>
          <w:szCs w:val="24"/>
        </w:rPr>
        <w:t xml:space="preserve">Пациент подтверждает, что ознакомлен с информацией, касающейся особенностей оказываемой медицинской услуги и условий ее  предоставления своей подписью в Медицинской карте и всех Приложениях к договору.</w:t>
      </w:r>
      <w:r>
        <w:rPr>
          <w:rStyle w:val="UserStyle_99"/>
          <w:rFonts w:cs="Times New Roman"/>
          <w:sz w:val="24"/>
          <w:szCs w:val="24"/>
        </w:rPr>
      </w:r>
    </w:p>
    <w:p>
      <w:pPr>
        <w:pStyle w:val="Normal"/>
        <w:numPr>
          <w:numId w:val="2"/>
          <w:ilvl w:val="2"/>
        </w:numPr>
        <w:jc w:val="both"/>
      </w:pPr>
      <w:r>
        <w:rPr>
          <w:rStyle w:val="UserStyle_99"/>
          <w:rFonts w:cs="Times New Roman"/>
          <w:sz w:val="24"/>
          <w:szCs w:val="24"/>
        </w:rPr>
        <w:t xml:space="preserve">Срок оказания Услуг зависит от состояния здоровья Пациента, периода, необходимого для изготовления медицинского изделия и графика работы врача и указывается в Предварительном плане лечения.</w:t>
      </w:r>
    </w:p>
    <w:p>
      <w:pPr>
        <w:pStyle w:val="Normal"/>
        <w:numPr>
          <w:numId w:val="2"/>
          <w:ilvl w:val="2"/>
        </w:numPr>
        <w:jc w:val="both"/>
      </w:pPr>
      <w:r>
        <w:t xml:space="preserve">После заключения договора пациент оплачивает в регистратуре  стоимость платных медицинских услуг. Оплата за услуги врачу не допускается. </w:t>
      </w:r>
      <w:r>
        <w:rPr>
          <w:rStyle w:val="UserStyle_99"/>
          <w:rFonts w:cs="Times New Roman"/>
          <w:sz w:val="24"/>
          <w:szCs w:val="24"/>
        </w:rPr>
        <w:t xml:space="preserve">В случае недостаточности у Пациента денежных средств для оплаты оказанных услуг, задолженность Пациента перед Клиникой оформляется долговой распиской. </w:t>
      </w:r>
    </w:p>
    <w:p>
      <w:pPr>
        <w:pStyle w:val="Normal"/>
        <w:numPr>
          <w:numId w:val="2"/>
          <w:ilvl w:val="2"/>
        </w:numPr>
        <w:jc w:val="both"/>
      </w:pPr>
      <w:r>
        <w:t xml:space="preserve">По окончании первого приёма лечащий врач выдаёт пациенту талон, в котором прописывается дата и время повторного и последующего  приёмов. если пациент был назначен врачом для продолжения лечения.</w:t>
      </w:r>
    </w:p>
    <w:p>
      <w:pPr>
        <w:pStyle w:val="Normal"/>
        <w:numPr>
          <w:numId w:val="2"/>
          <w:ilvl w:val="2"/>
        </w:numPr>
        <w:jc w:val="both"/>
      </w:pPr>
      <w:r>
        <w:t xml:space="preserve">В случае изменения состояния здоровья пациента в ходе лечения, пациент обязан во время следующего посещения  поставить в известность об этом своего лечащего врача и явится на примем незамедлительно для диагностики состояния здоровья и устранения проблем. </w:t>
      </w:r>
    </w:p>
    <w:p>
      <w:pPr>
        <w:pStyle w:val="Normal"/>
        <w:numPr>
          <w:numId w:val="2"/>
          <w:ilvl w:val="2"/>
        </w:numPr>
        <w:jc w:val="both"/>
      </w:pPr>
      <w:r>
        <w:t xml:space="preserve">В случае, если пациент не может прийти на приём к своему лечащему врачу в назначенное время, пациент обязан сообщить об этом по телефону не менее чем за 24 часа до назначенного времени.</w:t>
      </w:r>
    </w:p>
    <w:p>
      <w:pPr>
        <w:pStyle w:val="Normal"/>
        <w:numPr>
          <w:numId w:val="2"/>
          <w:ilvl w:val="2"/>
        </w:numPr>
        <w:jc w:val="both"/>
      </w:pPr>
      <w:r>
        <w:t xml:space="preserve">По завершении оказания платной медицинской услуги пациент подписывает Акт об оказанных услугах и оплачивает оказанные ему услуги в регистратуре. Оплата проводится наличными денежными средствами, с помощью банковских карт посредством применения терминала оплаты либо по желанию и с согласия пациента (заказчика) путем внесения аванса или 100% предоплаты по плану лечения. В случае отказа пациента от продолжения лечения при ранее внесенном авансе исполнитель (клиника)  после расчета и взимания оплаты за фактически оказанные услуги производит возврат оставшихся денежных средств в течение 10 рабочих дней тем же путем, которым денежные средства были оплачены исполнителю либо иным путем по договоренности сторон. </w:t>
      </w:r>
    </w:p>
    <w:p>
      <w:pPr>
        <w:pStyle w:val="Normal"/>
        <w:ind w:left="720" w:right="0" w:firstLine="0"/>
        <w:jc w:val="both"/>
      </w:pPr>
    </w:p>
    <w:p>
      <w:pPr>
        <w:pStyle w:val="Normal"/>
        <w:numPr>
          <w:numId w:val="2"/>
          <w:ilvl w:val="0"/>
        </w:numPr>
        <w:jc w:val="center"/>
      </w:pPr>
      <w:r>
        <w:t xml:space="preserve">ПОРЯДОК ОФОРМЛЕНИЯ МЕДИЦИНСКИХ ДОКУМЕНТОВ</w:t>
      </w:r>
    </w:p>
    <w:p>
      <w:pPr>
        <w:pStyle w:val="Normal"/>
        <w:numPr>
          <w:numId w:val="2"/>
          <w:ilvl w:val="1"/>
        </w:numPr>
        <w:jc w:val="both"/>
      </w:pPr>
      <w:r>
        <w:t xml:space="preserve"> Основными документами пациента являются Медицинская карта, Договор на оказание платных медицинских услуг и Приложения к договору об оказании медицинских услуг.</w:t>
      </w:r>
    </w:p>
    <w:p>
      <w:pPr>
        <w:pStyle w:val="Normal"/>
        <w:numPr>
          <w:numId w:val="2"/>
          <w:ilvl w:val="1"/>
        </w:numPr>
        <w:jc w:val="both"/>
      </w:pPr>
      <w:r>
        <w:t xml:space="preserve">Медицинская карта пациента хранится в регистратуре в течение 5 лет с момента последнего обращения пациента а далее в архиве в течение 25 лет.</w:t>
      </w:r>
    </w:p>
    <w:p>
      <w:pPr>
        <w:pStyle w:val="Normal"/>
        <w:numPr>
          <w:numId w:val="2"/>
          <w:ilvl w:val="1"/>
        </w:numPr>
        <w:jc w:val="both"/>
      </w:pPr>
      <w:r>
        <w:t xml:space="preserve">Хранение медицинской карты самим пациентом на дому, передача её в другие лечебные учреждения, третьим лицам не допускается. </w:t>
      </w:r>
    </w:p>
    <w:p>
      <w:pPr>
        <w:pStyle w:val="Normal"/>
        <w:ind w:left="360" w:right="0" w:firstLine="0"/>
        <w:jc w:val="both"/>
      </w:pPr>
    </w:p>
    <w:p>
      <w:pPr>
        <w:pStyle w:val="Normal"/>
        <w:numPr>
          <w:numId w:val="2"/>
          <w:ilvl w:val="0"/>
        </w:numPr>
        <w:jc w:val="center"/>
      </w:pPr>
      <w:r>
        <w:t xml:space="preserve"> ПОРЯДОК ПРЕДОСТАВЛЕНИЯ ИНФОРМАЦИИ </w:t>
      </w:r>
    </w:p>
    <w:p>
      <w:pPr>
        <w:pStyle w:val="Normal"/>
        <w:numPr>
          <w:numId w:val="2"/>
          <w:ilvl w:val="1"/>
        </w:numPr>
        <w:jc w:val="both"/>
      </w:pPr>
      <w:r>
        <w:t xml:space="preserve"> Информация о состоянии здоровья предоставляется пациенту лечащим врачом в доступной для него форме в устной форме, путем выписки из амбулаторной карты, написания выписного (этапного) эпикриза или  предоставлением копий медицинских документов.</w:t>
      </w:r>
    </w:p>
    <w:p>
      <w:pPr>
        <w:pStyle w:val="Normal"/>
        <w:numPr>
          <w:numId w:val="2"/>
          <w:ilvl w:val="1"/>
        </w:numPr>
        <w:jc w:val="both"/>
      </w:pPr>
      <w:r>
        <w:t xml:space="preserve">Информация о состоянии здоровья гражданина, о факте обращения его за медицинской помощью является конфиденциальной и защищена законом.</w:t>
      </w:r>
    </w:p>
    <w:p>
      <w:pPr>
        <w:pStyle w:val="Normal"/>
        <w:numPr>
          <w:numId w:val="2"/>
          <w:ilvl w:val="1"/>
        </w:numPr>
        <w:jc w:val="both"/>
      </w:pPr>
      <w:r>
        <w:t xml:space="preserve">Информация о состоянии здоровья гражданина может быть предоставлена в правоохранительные органы, органы дознания на основании письменного запроса и в случаях, предусмотренных законодательством РФ.</w:t>
      </w:r>
    </w:p>
    <w:p>
      <w:pPr>
        <w:pStyle w:val="Normal"/>
        <w:ind w:left="360" w:right="0" w:firstLine="0"/>
      </w:pPr>
      <w:r>
        <w:t xml:space="preserve"> </w:t>
      </w:r>
    </w:p>
    <w:p>
      <w:pPr>
        <w:pStyle w:val="Normal"/>
        <w:numPr>
          <w:numId w:val="2"/>
          <w:ilvl w:val="0"/>
        </w:numPr>
        <w:jc w:val="center"/>
      </w:pPr>
      <w:r>
        <w:t xml:space="preserve">  ГАРАНТИИ КАЧЕСТВА </w:t>
      </w:r>
    </w:p>
    <w:p>
      <w:pPr>
        <w:pStyle w:val="Normal"/>
        <w:numPr>
          <w:numId w:val="2"/>
          <w:ilvl w:val="1"/>
        </w:numPr>
        <w:tabs>
          <w:tab w:val="left" w:pos="1080" w:leader="none"/>
        </w:tabs>
        <w:jc w:val="both"/>
      </w:pPr>
      <w:r>
        <w:t xml:space="preserve">Гарантийные сроки на медицинские услуги устанавливаются в соответствии с Положением о гарантийных обязательствах. При необходимости лечащий врачом может фиксировать сроки дополнительно в амбулаторной карты, акты выполненных услуг, информированном добровольном согласии или специальном документе (Гарантийный талон или гарантийный паспорт пациента).</w:t>
      </w:r>
    </w:p>
    <w:p>
      <w:pPr>
        <w:pStyle w:val="Normal"/>
        <w:numPr>
          <w:numId w:val="2"/>
          <w:ilvl w:val="1"/>
        </w:numPr>
        <w:tabs>
          <w:tab w:val="left" w:pos="1080" w:leader="none"/>
        </w:tabs>
        <w:jc w:val="both"/>
      </w:pPr>
      <w:r>
        <w:t xml:space="preserve">При оказании медицинских услуг Клиника гарантирует:</w:t>
      </w:r>
    </w:p>
    <w:p>
      <w:pPr>
        <w:pStyle w:val="Normal"/>
        <w:numPr>
          <w:numId w:val="4"/>
          <w:ilvl w:val="2"/>
        </w:numPr>
        <w:jc w:val="both"/>
      </w:pPr>
      <w:r>
        <w:t xml:space="preserve">безопасность, которая обеспечивается строгим соблюдением всех этапов дезинфекции и стерилизации медицинских инструментов и медицинского оборудования путем санитарно-эпидемиологических мероприятий в соответствии с санитарно-эпидемиологическими нормами и правилами, а также использованием разрешенных к применению Минздравом РФ технологий и материалов;</w:t>
      </w:r>
    </w:p>
    <w:p>
      <w:pPr>
        <w:pStyle w:val="Normal"/>
        <w:numPr>
          <w:numId w:val="4"/>
          <w:ilvl w:val="2"/>
        </w:numPr>
        <w:jc w:val="both"/>
      </w:pPr>
      <w:r>
        <w:t xml:space="preserve">предоставление полной, достоверной и доступной по форме информации о состоянии здоровья Пациента с учетом его права и желания получать ее по доброй воле;</w:t>
      </w:r>
    </w:p>
    <w:p>
      <w:pPr>
        <w:pStyle w:val="Normal"/>
        <w:numPr>
          <w:numId w:val="4"/>
          <w:ilvl w:val="2"/>
        </w:numPr>
        <w:jc w:val="both"/>
      </w:pPr>
      <w:r>
        <w:t xml:space="preserve">оказание видов медицинских услуг в соответствии с лицензией; </w:t>
      </w:r>
    </w:p>
    <w:p>
      <w:pPr>
        <w:pStyle w:val="Normal"/>
        <w:numPr>
          <w:numId w:val="4"/>
          <w:ilvl w:val="2"/>
        </w:numPr>
        <w:jc w:val="both"/>
      </w:pPr>
      <w:r>
        <w:t xml:space="preserve">проведение лечения специалистами, имеющими сертификаты, подтверждающие право на осуществление данного вида медицинской деятельности;</w:t>
      </w:r>
    </w:p>
    <w:p>
      <w:pPr>
        <w:pStyle w:val="Normal"/>
        <w:numPr>
          <w:numId w:val="4"/>
          <w:ilvl w:val="2"/>
        </w:numPr>
        <w:jc w:val="both"/>
      </w:pPr>
      <w:r>
        <w:t xml:space="preserve">тщательное соблюдение технологий лечения, что предполагает профессиональную подготовку врачей и медицинских сестёр;</w:t>
      </w:r>
    </w:p>
    <w:p>
      <w:pPr>
        <w:pStyle w:val="Normal"/>
        <w:numPr>
          <w:numId w:val="4"/>
          <w:ilvl w:val="2"/>
        </w:numPr>
        <w:jc w:val="both"/>
      </w:pPr>
      <w:r>
        <w:t xml:space="preserve">индивидуальный подбор анестетиков, что позволяет в максимальной степени исключить болевые ощущения, учитывая при этом возраст Пациента, его аллергологический статус, показатели общего здоровья и опыт лечения;</w:t>
      </w:r>
    </w:p>
    <w:p>
      <w:pPr>
        <w:pStyle w:val="Normal"/>
        <w:numPr>
          <w:numId w:val="4"/>
          <w:ilvl w:val="2"/>
        </w:numPr>
        <w:jc w:val="both"/>
      </w:pPr>
      <w:r>
        <w:t xml:space="preserve">мероприятия по устранению и снижению степени осложнений, которые могут возникнуть в процессе или после оказания услуги;</w:t>
      </w:r>
    </w:p>
    <w:p>
      <w:pPr>
        <w:pStyle w:val="Normal"/>
        <w:numPr>
          <w:numId w:val="4"/>
          <w:ilvl w:val="2"/>
        </w:numPr>
        <w:jc w:val="both"/>
      </w:pPr>
      <w:r>
        <w:t xml:space="preserve">проведение контрольных осмотров – по показаниям, после сложного лечения или при необходимости упреждения нежелательных последствий;</w:t>
      </w:r>
    </w:p>
    <w:p>
      <w:pPr>
        <w:pStyle w:val="Normal"/>
        <w:numPr>
          <w:numId w:val="4"/>
          <w:ilvl w:val="2"/>
        </w:numPr>
        <w:jc w:val="both"/>
      </w:pPr>
      <w:r>
        <w:t xml:space="preserve">проведение бесплатных профилактических осмотров с частотой, определяемой лечащим врачом;</w:t>
      </w:r>
    </w:p>
    <w:p>
      <w:pPr>
        <w:pStyle w:val="Normal"/>
        <w:numPr>
          <w:numId w:val="4"/>
          <w:ilvl w:val="2"/>
        </w:numPr>
        <w:jc w:val="both"/>
      </w:pPr>
      <w:r>
        <w:t xml:space="preserve">динамический контроль за процессом выздоровления, реабилитации и результатов оказания медицинской услуги;</w:t>
      </w:r>
    </w:p>
    <w:p>
      <w:pPr>
        <w:pStyle w:val="Normal"/>
        <w:numPr>
          <w:numId w:val="4"/>
          <w:ilvl w:val="2"/>
        </w:numPr>
        <w:tabs>
          <w:tab w:val="left" w:pos="1080" w:leader="none"/>
        </w:tabs>
        <w:jc w:val="both"/>
      </w:pPr>
      <w:r>
        <w:t xml:space="preserve"> достижение показателей качества медицинской услуги и эстетических результатов (с учетом имеющихся в отечественной медицине стандартов и алгоритмов, пожеланий пациента и объективных обстоятельств, выявленных врачом).</w:t>
      </w:r>
    </w:p>
    <w:p>
      <w:pPr>
        <w:pStyle w:val="Normal"/>
      </w:pPr>
      <w:r>
        <w:t xml:space="preserve"> </w:t>
      </w:r>
    </w:p>
    <w:p>
      <w:pPr>
        <w:pStyle w:val="Normal"/>
        <w:numPr>
          <w:numId w:val="2"/>
          <w:ilvl w:val="0"/>
        </w:numPr>
        <w:jc w:val="center"/>
      </w:pPr>
      <w:r>
        <w:t xml:space="preserve">  ПРОЧИЕ ПОЛОЖЕНИЯ</w:t>
      </w:r>
    </w:p>
    <w:p>
      <w:pPr>
        <w:pStyle w:val="Normal"/>
        <w:numPr>
          <w:numId w:val="2"/>
          <w:ilvl w:val="1"/>
        </w:numPr>
        <w:tabs>
          <w:tab w:val="left" w:pos="1080" w:leader="none"/>
        </w:tabs>
        <w:jc w:val="both"/>
      </w:pPr>
      <w:r>
        <w:t xml:space="preserve"> При возникновении конфликта между пациентом и врачом, средним или младшим медицинским персоналом спорный вопрос решается на совместном заседании Врачебной Комиссией исполнителя при личном присутствии пациента. Претензионный досудебный порядок разрешения споров является обязательным.</w:t>
      </w:r>
    </w:p>
    <w:p>
      <w:pPr>
        <w:pStyle w:val="Normal"/>
        <w:numPr>
          <w:numId w:val="2"/>
          <w:ilvl w:val="1"/>
        </w:numPr>
        <w:tabs>
          <w:tab w:val="left" w:pos="1080" w:leader="none"/>
        </w:tabs>
        <w:jc w:val="both"/>
      </w:pPr>
      <w:r>
        <w:t xml:space="preserve">Прием главного  врача  по  всем  вопросам  проводится каждый понедельник с 12-</w:t>
      </w:r>
      <w:r>
        <w:rPr>
          <w:vertAlign w:val="superscript"/>
        </w:rPr>
        <w:t xml:space="preserve">00</w:t>
      </w:r>
      <w:r>
        <w:t xml:space="preserve">  до  13-</w:t>
      </w:r>
      <w:r>
        <w:rPr>
          <w:vertAlign w:val="superscript"/>
        </w:rPr>
        <w:t xml:space="preserve">00</w:t>
      </w:r>
      <w:r>
        <w:t xml:space="preserve">.</w:t>
      </w:r>
    </w:p>
    <w:p>
      <w:pPr>
        <w:pStyle w:val="Normal"/>
        <w:numPr>
          <w:numId w:val="2"/>
          <w:ilvl w:val="1"/>
        </w:numPr>
        <w:tabs>
          <w:tab w:val="left" w:pos="1080" w:leader="none"/>
        </w:tabs>
        <w:jc w:val="both"/>
        <w:rPr>
          <w:szCs w:val="22"/>
        </w:rPr>
      </w:pPr>
      <w:r>
        <w:t xml:space="preserve">Вся информация о работе Клиники, о контролирующих органах, о гарантийных сроках и прочая информация в соответствии с требованиями законодательства доводится до сведения пациентов в доступной форме на информационном стенде, расположенном в регистратуре, а также на сайте Клиники в сети Интернет. </w:t>
      </w:r>
      <w:r>
        <w:rPr>
          <w:szCs w:val="22"/>
        </w:rPr>
      </w:r>
    </w:p>
    <w:sectPr>
      <w:type w:val="nextPage"/>
      <w:pgSz w:w="11906" w:h="16838"/>
      <w:pgMar w:top="1134" w:right="850" w:bottom="1134" w:left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ucida Sans Unicode">
    <w:panose1 w:val="020B06020305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92" w:leader="none"/>
        </w:tabs>
        <w:ind w:left="792" w:hanging="432"/>
      </w:pPr>
    </w:lvl>
    <w:lvl w:ilvl="2">
      <w:start w:val="1"/>
      <w:numFmt w:val="bullet"/>
      <w:suff w:val="tab"/>
      <w:lvlText w:val="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320" w:hanging="144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92" w:leader="none"/>
        </w:tabs>
        <w:ind w:left="792" w:hanging="432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224" w:hanging="504"/>
      </w:pPr>
      <w:rPr>
        <w:rFonts w:ascii="Times New Roman" w:hAnsi="Times New Roman" w:cs="Times New Roman"/>
        <w:spacing w:val="0"/>
        <w:sz w:val="24"/>
        <w:szCs w:val="24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320" w:hanging="144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92" w:leader="none"/>
        </w:tabs>
        <w:ind w:left="792" w:hanging="432"/>
      </w:pPr>
    </w:lvl>
    <w:lvl w:ilvl="2">
      <w:start w:val="1"/>
      <w:numFmt w:val="bullet"/>
      <w:suff w:val="tab"/>
      <w:lvlText w:val="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320" w:hanging="144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92" w:leader="none"/>
        </w:tabs>
        <w:ind w:left="792" w:hanging="432"/>
      </w:pPr>
    </w:lvl>
    <w:lvl w:ilvl="2">
      <w:start w:val="1"/>
      <w:numFmt w:val="bullet"/>
      <w:suff w:val="tab"/>
      <w:lvlText w:val="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320" w:hanging="1440"/>
      </w:pPr>
    </w:lvl>
  </w:abstractNum>
  <w:abstractNum w:abstractNumId="4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432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576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864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1584" w:leader="none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Базовый"/>
    <w:next w:val="Normal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ar-SA" w:bidi="ar-SA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  <w:rPr>
      <w:rFonts w:ascii="Symbol" w:hAnsi="Symbol" w:cs="Symbol"/>
    </w:rPr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</w:style>
  <w:style w:type="character" w:styleId="UserStyle_10">
    <w:name w:val="WW8Num2z1"/>
    <w:next w:val="UserStyle_10"/>
    <w:link w:val="Normal"/>
    <w:rPr>
      <w:color w:val="000000"/>
    </w:rPr>
  </w:style>
  <w:style w:type="character" w:styleId="UserStyle_11">
    <w:name w:val="WW8Num2z2"/>
    <w:next w:val="UserStyle_11"/>
    <w:link w:val="Normal"/>
    <w:rPr>
      <w:rFonts w:ascii="Times New Roman" w:hAnsi="Times New Roman" w:cs="Times New Roman"/>
      <w:spacing w:val="0"/>
      <w:sz w:val="24"/>
      <w:szCs w:val="24"/>
    </w:rPr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WW8Num3z0"/>
    <w:next w:val="UserStyle_18"/>
    <w:link w:val="Normal"/>
  </w:style>
  <w:style w:type="character" w:styleId="UserStyle_19">
    <w:name w:val="WW8Num3z1"/>
    <w:next w:val="UserStyle_19"/>
    <w:link w:val="Normal"/>
  </w:style>
  <w:style w:type="character" w:styleId="UserStyle_20">
    <w:name w:val="WW8Num3z2"/>
    <w:next w:val="UserStyle_20"/>
    <w:link w:val="Normal"/>
  </w:style>
  <w:style w:type="character" w:styleId="UserStyle_21">
    <w:name w:val="WW8Num3z3"/>
    <w:next w:val="UserStyle_21"/>
    <w:link w:val="Normal"/>
  </w:style>
  <w:style w:type="character" w:styleId="UserStyle_22">
    <w:name w:val="WW8Num3z4"/>
    <w:next w:val="UserStyle_22"/>
    <w:link w:val="Normal"/>
  </w:style>
  <w:style w:type="character" w:styleId="UserStyle_23">
    <w:name w:val="WW8Num3z5"/>
    <w:next w:val="UserStyle_23"/>
    <w:link w:val="Normal"/>
  </w:style>
  <w:style w:type="character" w:styleId="UserStyle_24">
    <w:name w:val="WW8Num3z6"/>
    <w:next w:val="UserStyle_24"/>
    <w:link w:val="Normal"/>
  </w:style>
  <w:style w:type="character" w:styleId="UserStyle_25">
    <w:name w:val="WW8Num3z7"/>
    <w:next w:val="UserStyle_25"/>
    <w:link w:val="Normal"/>
  </w:style>
  <w:style w:type="character" w:styleId="UserStyle_26">
    <w:name w:val="WW8Num3z8"/>
    <w:next w:val="UserStyle_26"/>
    <w:link w:val="Normal"/>
  </w:style>
  <w:style w:type="character" w:styleId="UserStyle_27">
    <w:name w:val="WW8Num4z0"/>
    <w:next w:val="UserStyle_27"/>
    <w:link w:val="Normal"/>
    <w:rPr>
      <w:rFonts w:ascii="Times New Roman" w:hAnsi="Times New Roman" w:cs="Times New Roman"/>
    </w:rPr>
  </w:style>
  <w:style w:type="character" w:styleId="UserStyle_28">
    <w:name w:val="WW8Num5z0"/>
    <w:next w:val="UserStyle_28"/>
    <w:link w:val="Normal"/>
  </w:style>
  <w:style w:type="character" w:styleId="UserStyle_29">
    <w:name w:val="WW8Num5z1"/>
    <w:next w:val="UserStyle_29"/>
    <w:link w:val="Normal"/>
  </w:style>
  <w:style w:type="character" w:styleId="UserStyle_30">
    <w:name w:val="WW8Num5z2"/>
    <w:next w:val="UserStyle_30"/>
    <w:link w:val="Normal"/>
    <w:rPr>
      <w:rFonts w:ascii="Symbol" w:hAnsi="Symbol" w:cs="Symbol"/>
    </w:rPr>
  </w:style>
  <w:style w:type="character" w:styleId="UserStyle_31">
    <w:name w:val="WW8Num5z3"/>
    <w:next w:val="UserStyle_31"/>
    <w:link w:val="Normal"/>
  </w:style>
  <w:style w:type="character" w:styleId="UserStyle_32">
    <w:name w:val="WW8Num5z4"/>
    <w:next w:val="UserStyle_32"/>
    <w:link w:val="Normal"/>
  </w:style>
  <w:style w:type="character" w:styleId="UserStyle_33">
    <w:name w:val="WW8Num5z5"/>
    <w:next w:val="UserStyle_33"/>
    <w:link w:val="Normal"/>
  </w:style>
  <w:style w:type="character" w:styleId="UserStyle_34">
    <w:name w:val="WW8Num5z6"/>
    <w:next w:val="UserStyle_34"/>
    <w:link w:val="Normal"/>
  </w:style>
  <w:style w:type="character" w:styleId="UserStyle_35">
    <w:name w:val="WW8Num5z7"/>
    <w:next w:val="UserStyle_35"/>
    <w:link w:val="Normal"/>
  </w:style>
  <w:style w:type="character" w:styleId="UserStyle_36">
    <w:name w:val="WW8Num5z8"/>
    <w:next w:val="UserStyle_36"/>
    <w:link w:val="Normal"/>
  </w:style>
  <w:style w:type="character" w:styleId="UserStyle_37">
    <w:name w:val="WW8Num6z0"/>
    <w:next w:val="UserStyle_37"/>
    <w:link w:val="Normal"/>
    <w:rPr>
      <w:rFonts w:ascii="Symbol" w:hAnsi="Symbol" w:cs="Symbol"/>
    </w:rPr>
  </w:style>
  <w:style w:type="character" w:styleId="UserStyle_38">
    <w:name w:val="WW8Num6z1"/>
    <w:next w:val="UserStyle_38"/>
    <w:link w:val="Normal"/>
    <w:rPr>
      <w:rFonts w:ascii="Courier New" w:hAnsi="Courier New" w:cs="Courier New"/>
    </w:rPr>
  </w:style>
  <w:style w:type="character" w:styleId="UserStyle_39">
    <w:name w:val="WW8Num6z2"/>
    <w:next w:val="UserStyle_39"/>
    <w:link w:val="Normal"/>
    <w:rPr>
      <w:rFonts w:ascii="Wingdings" w:hAnsi="Wingdings" w:cs="Wingdings"/>
    </w:rPr>
  </w:style>
  <w:style w:type="character" w:styleId="UserStyle_40">
    <w:name w:val="WW8Num7z0"/>
    <w:next w:val="UserStyle_40"/>
    <w:link w:val="Normal"/>
  </w:style>
  <w:style w:type="character" w:styleId="UserStyle_41">
    <w:name w:val="WW8Num7z1"/>
    <w:next w:val="UserStyle_41"/>
    <w:link w:val="Normal"/>
  </w:style>
  <w:style w:type="character" w:styleId="UserStyle_42">
    <w:name w:val="WW8Num7z2"/>
    <w:next w:val="UserStyle_42"/>
    <w:link w:val="Normal"/>
  </w:style>
  <w:style w:type="character" w:styleId="UserStyle_43">
    <w:name w:val="WW8Num7z3"/>
    <w:next w:val="UserStyle_43"/>
    <w:link w:val="Normal"/>
  </w:style>
  <w:style w:type="character" w:styleId="UserStyle_44">
    <w:name w:val="WW8Num7z4"/>
    <w:next w:val="UserStyle_44"/>
    <w:link w:val="Normal"/>
  </w:style>
  <w:style w:type="character" w:styleId="UserStyle_45">
    <w:name w:val="WW8Num7z5"/>
    <w:next w:val="UserStyle_45"/>
    <w:link w:val="Normal"/>
  </w:style>
  <w:style w:type="character" w:styleId="UserStyle_46">
    <w:name w:val="WW8Num7z6"/>
    <w:next w:val="UserStyle_46"/>
    <w:link w:val="Normal"/>
  </w:style>
  <w:style w:type="character" w:styleId="UserStyle_47">
    <w:name w:val="WW8Num7z7"/>
    <w:next w:val="UserStyle_47"/>
    <w:link w:val="Normal"/>
  </w:style>
  <w:style w:type="character" w:styleId="UserStyle_48">
    <w:name w:val="WW8Num7z8"/>
    <w:next w:val="UserStyle_48"/>
  </w:style>
  <w:style w:type="character" w:styleId="UserStyle_49">
    <w:name w:val="WW8Num8z0"/>
    <w:next w:val="UserStyle_49"/>
    <w:link w:val="Normal"/>
  </w:style>
  <w:style w:type="character" w:styleId="UserStyle_50">
    <w:name w:val="WW8Num9z0"/>
    <w:next w:val="UserStyle_50"/>
    <w:link w:val="Normal"/>
  </w:style>
  <w:style w:type="character" w:styleId="UserStyle_51">
    <w:name w:val="WW8Num10z0"/>
    <w:next w:val="UserStyle_51"/>
    <w:link w:val="Normal"/>
  </w:style>
  <w:style w:type="character" w:styleId="UserStyle_52">
    <w:name w:val="WW8Num10z1"/>
    <w:next w:val="UserStyle_52"/>
    <w:link w:val="Normal"/>
  </w:style>
  <w:style w:type="character" w:styleId="UserStyle_53">
    <w:name w:val="WW8Num10z2"/>
    <w:next w:val="UserStyle_53"/>
    <w:link w:val="Normal"/>
  </w:style>
  <w:style w:type="character" w:styleId="UserStyle_54">
    <w:name w:val="WW8Num10z3"/>
    <w:next w:val="UserStyle_54"/>
    <w:link w:val="Normal"/>
  </w:style>
  <w:style w:type="character" w:styleId="UserStyle_55">
    <w:name w:val="WW8Num10z4"/>
    <w:next w:val="UserStyle_55"/>
    <w:link w:val="Normal"/>
  </w:style>
  <w:style w:type="character" w:styleId="UserStyle_56">
    <w:name w:val="WW8Num10z5"/>
    <w:next w:val="UserStyle_56"/>
    <w:link w:val="Normal"/>
  </w:style>
  <w:style w:type="character" w:styleId="UserStyle_57">
    <w:name w:val="WW8Num10z6"/>
    <w:next w:val="UserStyle_57"/>
    <w:link w:val="Normal"/>
  </w:style>
  <w:style w:type="character" w:styleId="UserStyle_58">
    <w:name w:val="WW8Num10z7"/>
    <w:next w:val="UserStyle_58"/>
    <w:link w:val="Normal"/>
  </w:style>
  <w:style w:type="character" w:styleId="UserStyle_59">
    <w:name w:val="WW8Num10z8"/>
    <w:next w:val="UserStyle_59"/>
    <w:link w:val="Normal"/>
  </w:style>
  <w:style w:type="character" w:styleId="UserStyle_60">
    <w:name w:val="WW8Num11z0"/>
    <w:next w:val="UserStyle_60"/>
    <w:link w:val="Normal"/>
  </w:style>
  <w:style w:type="character" w:styleId="UserStyle_61">
    <w:name w:val="WW8Num11z1"/>
    <w:next w:val="UserStyle_61"/>
    <w:link w:val="Normal"/>
  </w:style>
  <w:style w:type="character" w:styleId="UserStyle_62">
    <w:name w:val="WW8Num11z2"/>
    <w:next w:val="UserStyle_62"/>
    <w:link w:val="Normal"/>
  </w:style>
  <w:style w:type="character" w:styleId="UserStyle_63">
    <w:name w:val="WW8Num11z3"/>
    <w:next w:val="UserStyle_63"/>
    <w:link w:val="Normal"/>
  </w:style>
  <w:style w:type="character" w:styleId="UserStyle_64">
    <w:name w:val="WW8Num11z4"/>
    <w:next w:val="UserStyle_64"/>
    <w:link w:val="Normal"/>
  </w:style>
  <w:style w:type="character" w:styleId="UserStyle_65">
    <w:name w:val="WW8Num11z5"/>
    <w:next w:val="UserStyle_65"/>
    <w:link w:val="Normal"/>
  </w:style>
  <w:style w:type="character" w:styleId="UserStyle_66">
    <w:name w:val="WW8Num11z6"/>
    <w:next w:val="UserStyle_66"/>
    <w:link w:val="Normal"/>
  </w:style>
  <w:style w:type="character" w:styleId="UserStyle_67">
    <w:name w:val="WW8Num11z7"/>
    <w:next w:val="UserStyle_67"/>
    <w:link w:val="Normal"/>
  </w:style>
  <w:style w:type="character" w:styleId="UserStyle_68">
    <w:name w:val="WW8Num11z8"/>
    <w:next w:val="UserStyle_68"/>
    <w:link w:val="Normal"/>
  </w:style>
  <w:style w:type="character" w:styleId="UserStyle_69">
    <w:name w:val="WW8Num12z0"/>
    <w:next w:val="UserStyle_69"/>
    <w:link w:val="Normal"/>
  </w:style>
  <w:style w:type="character" w:styleId="UserStyle_70">
    <w:name w:val="WW8Num12z1"/>
    <w:next w:val="UserStyle_70"/>
    <w:link w:val="Normal"/>
  </w:style>
  <w:style w:type="character" w:styleId="UserStyle_71">
    <w:name w:val="WW8Num12z2"/>
    <w:next w:val="UserStyle_71"/>
    <w:link w:val="Normal"/>
    <w:rPr>
      <w:rFonts w:ascii="Symbol" w:hAnsi="Symbol" w:cs="Symbol"/>
    </w:rPr>
  </w:style>
  <w:style w:type="character" w:styleId="UserStyle_72">
    <w:name w:val="WW8Num12z3"/>
    <w:next w:val="UserStyle_72"/>
    <w:link w:val="Normal"/>
  </w:style>
  <w:style w:type="character" w:styleId="UserStyle_73">
    <w:name w:val="WW8Num12z4"/>
    <w:next w:val="UserStyle_73"/>
    <w:link w:val="Normal"/>
  </w:style>
  <w:style w:type="character" w:styleId="UserStyle_74">
    <w:name w:val="WW8Num12z5"/>
    <w:next w:val="UserStyle_74"/>
    <w:link w:val="Normal"/>
  </w:style>
  <w:style w:type="character" w:styleId="UserStyle_75">
    <w:name w:val="WW8Num12z6"/>
    <w:next w:val="UserStyle_75"/>
    <w:link w:val="Normal"/>
  </w:style>
  <w:style w:type="character" w:styleId="UserStyle_76">
    <w:name w:val="WW8Num12z7"/>
    <w:next w:val="UserStyle_76"/>
    <w:link w:val="Normal"/>
  </w:style>
  <w:style w:type="character" w:styleId="UserStyle_77">
    <w:name w:val="WW8Num12z8"/>
    <w:next w:val="UserStyle_77"/>
    <w:link w:val="Normal"/>
  </w:style>
  <w:style w:type="character" w:styleId="UserStyle_78">
    <w:name w:val="WW8Num13z0"/>
    <w:next w:val="UserStyle_78"/>
    <w:link w:val="Normal"/>
  </w:style>
  <w:style w:type="character" w:styleId="UserStyle_79">
    <w:name w:val="WW8Num13z1"/>
    <w:next w:val="UserStyle_79"/>
    <w:link w:val="Normal"/>
  </w:style>
  <w:style w:type="character" w:styleId="UserStyle_80">
    <w:name w:val="WW8Num13z2"/>
    <w:next w:val="UserStyle_80"/>
    <w:link w:val="Normal"/>
  </w:style>
  <w:style w:type="character" w:styleId="UserStyle_81">
    <w:name w:val="WW8Num13z3"/>
    <w:next w:val="UserStyle_81"/>
    <w:link w:val="Normal"/>
  </w:style>
  <w:style w:type="character" w:styleId="UserStyle_82">
    <w:name w:val="WW8Num13z4"/>
    <w:next w:val="UserStyle_82"/>
    <w:link w:val="Normal"/>
  </w:style>
  <w:style w:type="character" w:styleId="UserStyle_83">
    <w:name w:val="WW8Num13z5"/>
    <w:next w:val="UserStyle_83"/>
    <w:link w:val="Normal"/>
  </w:style>
  <w:style w:type="character" w:styleId="UserStyle_84">
    <w:name w:val="WW8Num13z6"/>
    <w:next w:val="UserStyle_84"/>
    <w:link w:val="Normal"/>
  </w:style>
  <w:style w:type="character" w:styleId="UserStyle_85">
    <w:name w:val="WW8Num13z7"/>
    <w:next w:val="UserStyle_85"/>
    <w:link w:val="Normal"/>
  </w:style>
  <w:style w:type="character" w:styleId="UserStyle_86">
    <w:name w:val="WW8Num13z8"/>
    <w:next w:val="UserStyle_86"/>
    <w:link w:val="Normal"/>
  </w:style>
  <w:style w:type="character" w:styleId="UserStyle_87">
    <w:name w:val="WW8Num14z0"/>
    <w:next w:val="UserStyle_87"/>
    <w:link w:val="Normal"/>
    <w:rPr>
      <w:rFonts w:ascii="Times New Roman" w:hAnsi="Times New Roman" w:cs="Times New Roman"/>
    </w:rPr>
  </w:style>
  <w:style w:type="character" w:styleId="UserStyle_88">
    <w:name w:val="WW8Num15z0"/>
    <w:next w:val="UserStyle_88"/>
    <w:link w:val="Normal"/>
  </w:style>
  <w:style w:type="character" w:styleId="UserStyle_89">
    <w:name w:val="WW8Num15z1"/>
    <w:next w:val="UserStyle_89"/>
    <w:link w:val="Normal"/>
  </w:style>
  <w:style w:type="character" w:styleId="UserStyle_90">
    <w:name w:val="WW8Num15z2"/>
    <w:next w:val="UserStyle_90"/>
    <w:link w:val="Normal"/>
    <w:rPr>
      <w:rFonts w:ascii="Symbol" w:hAnsi="Symbol" w:cs="Symbol"/>
    </w:rPr>
  </w:style>
  <w:style w:type="character" w:styleId="UserStyle_91">
    <w:name w:val="WW8Num15z3"/>
    <w:next w:val="UserStyle_91"/>
  </w:style>
  <w:style w:type="character" w:styleId="UserStyle_92">
    <w:name w:val="WW8Num15z4"/>
    <w:next w:val="UserStyle_92"/>
    <w:link w:val="Normal"/>
  </w:style>
  <w:style w:type="character" w:styleId="UserStyle_93">
    <w:name w:val="WW8Num15z5"/>
    <w:next w:val="UserStyle_93"/>
    <w:link w:val="Normal"/>
  </w:style>
  <w:style w:type="character" w:styleId="UserStyle_94">
    <w:name w:val="WW8Num15z6"/>
    <w:next w:val="UserStyle_94"/>
    <w:link w:val="Normal"/>
  </w:style>
  <w:style w:type="character" w:styleId="UserStyle_95">
    <w:name w:val="WW8Num15z7"/>
    <w:next w:val="UserStyle_95"/>
    <w:link w:val="Normal"/>
  </w:style>
  <w:style w:type="character" w:styleId="UserStyle_96">
    <w:name w:val="WW8Num15z8"/>
    <w:next w:val="UserStyle_96"/>
    <w:link w:val="Normal"/>
  </w:style>
  <w:style w:type="character" w:styleId="UserStyle_97">
    <w:name w:val="Основной шрифт абзаца"/>
    <w:next w:val="UserStyle_97"/>
    <w:link w:val="Normal"/>
  </w:style>
  <w:style w:type="character" w:styleId="Strong">
    <w:name w:val="Выделение жирным"/>
    <w:next w:val="Strong"/>
    <w:link w:val="Normal"/>
    <w:rPr>
      <w:b/>
      <w:bCs/>
    </w:rPr>
  </w:style>
  <w:style w:type="character" w:styleId="UserStyle_98">
    <w:name w:val="apple-converted-space"/>
    <w:basedOn w:val="UserStyle_97"/>
    <w:next w:val="UserStyle_98"/>
    <w:link w:val="Normal"/>
  </w:style>
  <w:style w:type="character" w:styleId="UserStyle_99">
    <w:name w:val="Font Style46"/>
    <w:next w:val="UserStyle_99"/>
    <w:link w:val="Normal"/>
    <w:rPr>
      <w:rFonts w:ascii="Lucida Sans Unicode" w:hAnsi="Lucida Sans Unicode" w:cs="Lucida Sans Unicode"/>
      <w:spacing w:val="-10"/>
      <w:sz w:val="14"/>
      <w:szCs w:val="14"/>
    </w:rPr>
  </w:style>
  <w:style w:type="character" w:styleId="UserStyle_100">
    <w:name w:val="blk"/>
    <w:basedOn w:val="UserStyle_97"/>
    <w:next w:val="UserStyle_100"/>
    <w:link w:val="Normal"/>
  </w:style>
  <w:style w:type="character" w:styleId="UserStyle_101">
    <w:name w:val="u"/>
    <w:basedOn w:val="UserStyle_97"/>
    <w:next w:val="UserStyle_101"/>
    <w:link w:val="Normal"/>
  </w:style>
  <w:style w:type="character" w:styleId="UserStyle_102">
    <w:name w:val="Основной текст с отступом Знак"/>
    <w:next w:val="UserStyle_102"/>
    <w:link w:val="Normal"/>
    <w:rPr>
      <w:sz w:val="24"/>
      <w:szCs w:val="24"/>
      <w:lang w:val="ru-RU" w:eastAsia="ar-SA" w:bidi="ar-SA"/>
    </w:rPr>
  </w:style>
  <w:style w:type="paragraph" w:styleId="UserStyle_103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Arial"/>
    </w:rPr>
  </w:style>
  <w:style w:type="paragraph" w:styleId="UserStyle_104">
    <w:name w:val="Название"/>
    <w:basedOn w:val="Normal"/>
    <w:next w:val="UserStyle_104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05">
    <w:name w:val="Указатель"/>
    <w:basedOn w:val="Normal"/>
    <w:next w:val="UserStyle_105"/>
    <w:link w:val="Normal"/>
    <w:pPr>
      <w:suppressLineNumbers/>
    </w:pPr>
    <w:rPr>
      <w:rFonts w:cs="Arial"/>
    </w:rPr>
  </w:style>
  <w:style w:type="paragraph" w:styleId="UserStyle_106">
    <w:name w:val="Style28"/>
    <w:basedOn w:val="Normal"/>
    <w:next w:val="UserStyle_106"/>
    <w:link w:val="Normal"/>
    <w:pPr>
      <w:widowControl w:val="off"/>
    </w:pPr>
    <w:rPr>
      <w:rFonts w:ascii="Lucida Sans Unicode" w:hAnsi="Lucida Sans Unicode" w:cs="Lucida Sans Unicode"/>
    </w:rPr>
  </w:style>
  <w:style w:type="paragraph" w:styleId="UserStyle_107">
    <w:name w:val="Style13"/>
    <w:basedOn w:val="Normal"/>
    <w:next w:val="UserStyle_107"/>
    <w:link w:val="Normal"/>
    <w:pPr>
      <w:widowControl w:val="off"/>
      <w:spacing w:line="182" w:lineRule="exact"/>
      <w:ind w:left="0" w:right="0" w:firstLine="192"/>
      <w:jc w:val="both"/>
    </w:pPr>
    <w:rPr>
      <w:rFonts w:ascii="Lucida Sans Unicode" w:hAnsi="Lucida Sans Unicode" w:cs="Lucida Sans Unicode"/>
    </w:rPr>
  </w:style>
  <w:style w:type="paragraph" w:styleId="UserStyle_108">
    <w:name w:val="Style16"/>
    <w:basedOn w:val="Normal"/>
    <w:next w:val="UserStyle_108"/>
    <w:link w:val="Normal"/>
    <w:pPr>
      <w:widowControl w:val="off"/>
      <w:spacing w:line="182" w:lineRule="exact"/>
      <w:ind w:left="0" w:right="0" w:firstLine="192"/>
      <w:jc w:val="both"/>
    </w:pPr>
    <w:rPr>
      <w:rFonts w:ascii="Lucida Sans Unicode" w:hAnsi="Lucida Sans Unicode" w:cs="Lucida Sans Unicode"/>
    </w:rPr>
  </w:style>
  <w:style w:type="paragraph" w:styleId="BodyTextIndent">
    <w:name w:val="Основной текст с отступом"/>
    <w:basedOn w:val="Normal"/>
    <w:next w:val="BodyTextIndent"/>
    <w:link w:val="Normal"/>
    <w:pPr>
      <w:ind w:left="360" w:right="0" w:hanging="340"/>
    </w:pPr>
  </w:style>
  <w:style w:type="paragraph" w:styleId="UserStyle_109">
    <w:name w:val="Основной текст 2"/>
    <w:basedOn w:val="Normal"/>
    <w:next w:val="UserStyle_109"/>
    <w:pPr>
      <w:spacing w:before="0" w:after="120" w:line="480" w:lineRule="auto"/>
    </w:pPr>
  </w:style>
  <w:style w:type="paragraph" w:styleId="UserStyle_110">
    <w:name w:val="ConsPlusNormal"/>
    <w:next w:val="UserStyle_110"/>
    <w:link w:val="Normal"/>
    <w:pPr>
      <w:widowControl w:val="off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ar-SA" w:bidi="ar-SA"/>
    </w:rPr>
  </w:style>
  <w:style w:type="paragraph" w:styleId="UserStyle_111">
    <w:name w:val="formattext topleveltext centertext"/>
    <w:basedOn w:val="Normal"/>
    <w:next w:val="UserStyle_111"/>
    <w:link w:val="Normal"/>
    <w:pPr>
      <w:spacing w:before="280" w:after="28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</dc:title>
  <dc:creator>user</dc:creator>
  <cp:lastModifiedBy>Dkfl</cp:lastModifiedBy>
  <cp:revision>24</cp:revision>
  <dcterms:created xsi:type="dcterms:W3CDTF">2014-01-23T09:09:00Z</dcterms:created>
  <dcterms:modified xsi:type="dcterms:W3CDTF">2016-01-24T12:55:00Z</dcterms:modified>
</cp:coreProperties>
</file>